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93" w:rsidRPr="00E20BF8" w:rsidRDefault="00A70693" w:rsidP="00232F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The Queensland Government is committed to reducing red tape in the liquor and gaming industries.</w:t>
      </w:r>
    </w:p>
    <w:p w:rsidR="00A70693" w:rsidRPr="00E20BF8" w:rsidRDefault="00A70693" w:rsidP="00232F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accordance with this commitment, t</w:t>
      </w:r>
      <w:r w:rsidRPr="00E20BF8">
        <w:rPr>
          <w:rFonts w:cs="Arial"/>
          <w:sz w:val="22"/>
          <w:szCs w:val="22"/>
        </w:rPr>
        <w:t xml:space="preserve">he </w:t>
      </w:r>
      <w:r w:rsidRPr="00A70693">
        <w:rPr>
          <w:rFonts w:cs="Arial"/>
          <w:i/>
          <w:sz w:val="22"/>
          <w:szCs w:val="22"/>
        </w:rPr>
        <w:t xml:space="preserve">Liquor and </w:t>
      </w:r>
      <w:r w:rsidR="00AA6E58">
        <w:rPr>
          <w:rFonts w:cs="Arial"/>
          <w:i/>
          <w:sz w:val="22"/>
          <w:szCs w:val="22"/>
        </w:rPr>
        <w:t xml:space="preserve">Gaming (Red Tape Reduction) and </w:t>
      </w:r>
      <w:r w:rsidR="00DD4AE0">
        <w:rPr>
          <w:rFonts w:cs="Arial"/>
          <w:i/>
          <w:sz w:val="22"/>
          <w:szCs w:val="22"/>
        </w:rPr>
        <w:t>Other Legislation Amendment Bill</w:t>
      </w:r>
      <w:r w:rsidRPr="00A70693">
        <w:rPr>
          <w:rFonts w:cs="Arial"/>
          <w:i/>
          <w:sz w:val="22"/>
          <w:szCs w:val="22"/>
        </w:rPr>
        <w:t xml:space="preserve"> 2013</w:t>
      </w:r>
      <w:r>
        <w:rPr>
          <w:rFonts w:cs="Arial"/>
          <w:sz w:val="22"/>
          <w:szCs w:val="22"/>
        </w:rPr>
        <w:t xml:space="preserve"> amends </w:t>
      </w:r>
      <w:r w:rsidR="005E53B1">
        <w:rPr>
          <w:rFonts w:cs="Arial"/>
          <w:sz w:val="22"/>
          <w:szCs w:val="22"/>
        </w:rPr>
        <w:t xml:space="preserve">liquor and gaming </w:t>
      </w:r>
      <w:r>
        <w:rPr>
          <w:rFonts w:cs="Arial"/>
          <w:sz w:val="22"/>
          <w:szCs w:val="22"/>
        </w:rPr>
        <w:t>legislation to</w:t>
      </w:r>
      <w:r w:rsidR="005E53B1">
        <w:rPr>
          <w:rFonts w:cs="Arial"/>
          <w:sz w:val="22"/>
          <w:szCs w:val="22"/>
        </w:rPr>
        <w:t xml:space="preserve"> reduce the regulatory burden</w:t>
      </w:r>
      <w:r w:rsidR="00E614D0">
        <w:rPr>
          <w:rFonts w:cs="Arial"/>
          <w:sz w:val="22"/>
          <w:szCs w:val="22"/>
        </w:rPr>
        <w:t>, in</w:t>
      </w:r>
      <w:r w:rsidR="005E53B1">
        <w:rPr>
          <w:rFonts w:cs="Arial"/>
          <w:sz w:val="22"/>
          <w:szCs w:val="22"/>
        </w:rPr>
        <w:t>c</w:t>
      </w:r>
      <w:r w:rsidR="00E614D0">
        <w:rPr>
          <w:rFonts w:cs="Arial"/>
          <w:sz w:val="22"/>
          <w:szCs w:val="22"/>
        </w:rPr>
        <w:t>l</w:t>
      </w:r>
      <w:r w:rsidR="005E53B1">
        <w:rPr>
          <w:rFonts w:cs="Arial"/>
          <w:sz w:val="22"/>
          <w:szCs w:val="22"/>
        </w:rPr>
        <w:t>uding</w:t>
      </w:r>
      <w:r w:rsidRPr="00E20BF8">
        <w:rPr>
          <w:rFonts w:cs="Arial"/>
          <w:sz w:val="22"/>
          <w:szCs w:val="22"/>
        </w:rPr>
        <w:t>:</w:t>
      </w:r>
    </w:p>
    <w:p w:rsidR="00A70693" w:rsidRDefault="00A70693" w:rsidP="00D3278E">
      <w:pPr>
        <w:numPr>
          <w:ilvl w:val="0"/>
          <w:numId w:val="3"/>
        </w:numPr>
        <w:tabs>
          <w:tab w:val="clear" w:pos="360"/>
          <w:tab w:val="left" w:pos="92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 w:rsidRPr="00A70693">
        <w:rPr>
          <w:rFonts w:cs="Arial"/>
          <w:sz w:val="22"/>
          <w:szCs w:val="22"/>
        </w:rPr>
        <w:t>removal of the requirement for gambling internal control systems</w:t>
      </w:r>
      <w:r>
        <w:rPr>
          <w:rFonts w:cs="Arial"/>
          <w:sz w:val="22"/>
          <w:szCs w:val="22"/>
        </w:rPr>
        <w:t>, other than in casinos,</w:t>
      </w:r>
      <w:r w:rsidRPr="00A70693">
        <w:rPr>
          <w:rFonts w:cs="Arial"/>
          <w:sz w:val="22"/>
          <w:szCs w:val="22"/>
        </w:rPr>
        <w:t xml:space="preserve"> to be approved</w:t>
      </w:r>
      <w:r>
        <w:rPr>
          <w:rFonts w:cs="Arial"/>
          <w:sz w:val="22"/>
          <w:szCs w:val="22"/>
        </w:rPr>
        <w:t xml:space="preserve"> by the chief executive; </w:t>
      </w:r>
    </w:p>
    <w:p w:rsidR="00E614D0" w:rsidRPr="00E614D0" w:rsidRDefault="00E614D0" w:rsidP="00D3278E">
      <w:pPr>
        <w:numPr>
          <w:ilvl w:val="0"/>
          <w:numId w:val="3"/>
        </w:numPr>
        <w:tabs>
          <w:tab w:val="clear" w:pos="360"/>
          <w:tab w:val="left" w:pos="920"/>
          <w:tab w:val="num" w:pos="96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207059">
        <w:rPr>
          <w:rFonts w:cs="Arial"/>
          <w:sz w:val="22"/>
          <w:szCs w:val="22"/>
        </w:rPr>
        <w:t>emoving</w:t>
      </w:r>
      <w:r w:rsidRPr="00E614D0">
        <w:rPr>
          <w:rFonts w:cs="Arial"/>
          <w:sz w:val="22"/>
          <w:szCs w:val="22"/>
        </w:rPr>
        <w:t xml:space="preserve"> the requirement to advertise liquor and gaming applications in the government gazette</w:t>
      </w:r>
      <w:bookmarkStart w:id="1" w:name="_Toc340826606"/>
      <w:bookmarkStart w:id="2" w:name="_Toc334520699"/>
      <w:r w:rsidRPr="00E614D0">
        <w:rPr>
          <w:rFonts w:cs="Arial"/>
          <w:sz w:val="22"/>
          <w:szCs w:val="22"/>
        </w:rPr>
        <w:t xml:space="preserve"> and newspapers;</w:t>
      </w:r>
    </w:p>
    <w:p w:rsidR="00E614D0" w:rsidRPr="00E614D0" w:rsidRDefault="00E614D0" w:rsidP="00D3278E">
      <w:pPr>
        <w:numPr>
          <w:ilvl w:val="0"/>
          <w:numId w:val="3"/>
        </w:numPr>
        <w:tabs>
          <w:tab w:val="clear" w:pos="360"/>
          <w:tab w:val="left" w:pos="920"/>
          <w:tab w:val="num" w:pos="96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E614D0">
        <w:rPr>
          <w:rFonts w:cs="Arial"/>
          <w:sz w:val="22"/>
          <w:szCs w:val="22"/>
        </w:rPr>
        <w:t xml:space="preserve">emoving </w:t>
      </w:r>
      <w:r>
        <w:rPr>
          <w:rFonts w:cs="Arial"/>
          <w:sz w:val="22"/>
          <w:szCs w:val="22"/>
        </w:rPr>
        <w:t>particular regulatory</w:t>
      </w:r>
      <w:r w:rsidRPr="00E614D0">
        <w:rPr>
          <w:rFonts w:cs="Arial"/>
          <w:sz w:val="22"/>
          <w:szCs w:val="22"/>
        </w:rPr>
        <w:t xml:space="preserve"> requirements </w:t>
      </w:r>
      <w:r>
        <w:rPr>
          <w:rFonts w:cs="Arial"/>
          <w:sz w:val="22"/>
          <w:szCs w:val="22"/>
        </w:rPr>
        <w:t>(such as advertising</w:t>
      </w:r>
      <w:r w:rsidR="00B61499">
        <w:rPr>
          <w:rFonts w:cs="Arial"/>
          <w:sz w:val="22"/>
          <w:szCs w:val="22"/>
        </w:rPr>
        <w:t xml:space="preserve"> and risk assessed management plans</w:t>
      </w:r>
      <w:r>
        <w:rPr>
          <w:rFonts w:cs="Arial"/>
          <w:sz w:val="22"/>
          <w:szCs w:val="22"/>
        </w:rPr>
        <w:t>)</w:t>
      </w:r>
      <w:r w:rsidR="001C4CD2">
        <w:rPr>
          <w:rFonts w:cs="Arial"/>
          <w:sz w:val="22"/>
          <w:szCs w:val="22"/>
        </w:rPr>
        <w:t xml:space="preserve"> </w:t>
      </w:r>
      <w:r w:rsidRPr="00E614D0">
        <w:rPr>
          <w:rFonts w:cs="Arial"/>
          <w:sz w:val="22"/>
          <w:szCs w:val="22"/>
        </w:rPr>
        <w:t>for low-risk restaurant and café premises</w:t>
      </w:r>
      <w:bookmarkEnd w:id="1"/>
      <w:r w:rsidRPr="00E614D0">
        <w:rPr>
          <w:rFonts w:cs="Arial"/>
          <w:sz w:val="22"/>
          <w:szCs w:val="22"/>
        </w:rPr>
        <w:t>;</w:t>
      </w:r>
    </w:p>
    <w:p w:rsidR="00E614D0" w:rsidRPr="00E614D0" w:rsidRDefault="00E614D0" w:rsidP="00D3278E">
      <w:pPr>
        <w:numPr>
          <w:ilvl w:val="0"/>
          <w:numId w:val="3"/>
        </w:numPr>
        <w:tabs>
          <w:tab w:val="clear" w:pos="360"/>
          <w:tab w:val="left" w:pos="920"/>
          <w:tab w:val="num" w:pos="96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207059">
        <w:rPr>
          <w:rFonts w:cs="Arial"/>
          <w:sz w:val="22"/>
          <w:szCs w:val="22"/>
        </w:rPr>
        <w:t>emoving</w:t>
      </w:r>
      <w:r w:rsidRPr="00E614D0">
        <w:rPr>
          <w:rFonts w:cs="Arial"/>
          <w:sz w:val="22"/>
          <w:szCs w:val="22"/>
        </w:rPr>
        <w:t xml:space="preserve"> renewal requirement for clubs and hotels with gaming machine licences</w:t>
      </w:r>
      <w:bookmarkStart w:id="3" w:name="_Toc334520704"/>
      <w:bookmarkEnd w:id="2"/>
      <w:r w:rsidRPr="00E614D0">
        <w:rPr>
          <w:rFonts w:cs="Arial"/>
          <w:sz w:val="22"/>
          <w:szCs w:val="22"/>
        </w:rPr>
        <w:t>;</w:t>
      </w:r>
    </w:p>
    <w:p w:rsidR="00E614D0" w:rsidRPr="00E614D0" w:rsidRDefault="001C4CD2" w:rsidP="00D3278E">
      <w:pPr>
        <w:numPr>
          <w:ilvl w:val="0"/>
          <w:numId w:val="3"/>
        </w:numPr>
        <w:tabs>
          <w:tab w:val="clear" w:pos="360"/>
          <w:tab w:val="left" w:pos="920"/>
          <w:tab w:val="num" w:pos="96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E614D0" w:rsidRPr="00E614D0">
        <w:rPr>
          <w:rFonts w:cs="Arial"/>
          <w:sz w:val="22"/>
          <w:szCs w:val="22"/>
        </w:rPr>
        <w:t>emoving the need for a community liquor permit for low risk events</w:t>
      </w:r>
      <w:bookmarkEnd w:id="3"/>
      <w:r w:rsidR="00E614D0" w:rsidRPr="00E614D0">
        <w:rPr>
          <w:rFonts w:cs="Arial"/>
          <w:sz w:val="22"/>
          <w:szCs w:val="22"/>
        </w:rPr>
        <w:t xml:space="preserve"> (including raffles)</w:t>
      </w:r>
      <w:bookmarkStart w:id="4" w:name="_Toc334520705"/>
      <w:r w:rsidR="00E614D0" w:rsidRPr="00E614D0">
        <w:rPr>
          <w:rFonts w:cs="Arial"/>
          <w:sz w:val="22"/>
          <w:szCs w:val="22"/>
        </w:rPr>
        <w:t>;</w:t>
      </w:r>
    </w:p>
    <w:p w:rsidR="00E614D0" w:rsidRPr="00E614D0" w:rsidRDefault="001C4CD2" w:rsidP="00D3278E">
      <w:pPr>
        <w:numPr>
          <w:ilvl w:val="0"/>
          <w:numId w:val="3"/>
        </w:numPr>
        <w:tabs>
          <w:tab w:val="clear" w:pos="360"/>
          <w:tab w:val="left" w:pos="920"/>
          <w:tab w:val="num" w:pos="96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E614D0" w:rsidRPr="00E614D0">
        <w:rPr>
          <w:rFonts w:cs="Arial"/>
          <w:sz w:val="22"/>
          <w:szCs w:val="22"/>
        </w:rPr>
        <w:t>xempt</w:t>
      </w:r>
      <w:r w:rsidR="00207059">
        <w:rPr>
          <w:rFonts w:cs="Arial"/>
          <w:sz w:val="22"/>
          <w:szCs w:val="22"/>
        </w:rPr>
        <w:t>ing</w:t>
      </w:r>
      <w:r w:rsidR="00E614D0" w:rsidRPr="00E614D0">
        <w:rPr>
          <w:rFonts w:cs="Arial"/>
          <w:sz w:val="22"/>
          <w:szCs w:val="22"/>
        </w:rPr>
        <w:t xml:space="preserve"> hospitals and nursing homes from requiring a licence for the supply of small amounts of liquor</w:t>
      </w:r>
      <w:bookmarkStart w:id="5" w:name="_Toc334520714"/>
      <w:bookmarkEnd w:id="4"/>
      <w:r w:rsidR="00E614D0" w:rsidRPr="00E614D0">
        <w:rPr>
          <w:rFonts w:cs="Arial"/>
          <w:sz w:val="22"/>
          <w:szCs w:val="22"/>
        </w:rPr>
        <w:t>;</w:t>
      </w:r>
    </w:p>
    <w:p w:rsidR="00E614D0" w:rsidRPr="00E614D0" w:rsidRDefault="001C4CD2" w:rsidP="00D3278E">
      <w:pPr>
        <w:numPr>
          <w:ilvl w:val="0"/>
          <w:numId w:val="3"/>
        </w:numPr>
        <w:tabs>
          <w:tab w:val="clear" w:pos="360"/>
          <w:tab w:val="left" w:pos="920"/>
          <w:tab w:val="num" w:pos="96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207059">
        <w:rPr>
          <w:rFonts w:cs="Arial"/>
          <w:sz w:val="22"/>
          <w:szCs w:val="22"/>
        </w:rPr>
        <w:t>treamlining</w:t>
      </w:r>
      <w:r w:rsidR="00E614D0" w:rsidRPr="00E614D0">
        <w:rPr>
          <w:rFonts w:cs="Arial"/>
          <w:sz w:val="22"/>
          <w:szCs w:val="22"/>
        </w:rPr>
        <w:t xml:space="preserve"> reporting on club and hotel executives to one annual submission</w:t>
      </w:r>
      <w:bookmarkEnd w:id="5"/>
      <w:r w:rsidR="00E614D0" w:rsidRPr="00E614D0">
        <w:rPr>
          <w:rFonts w:cs="Arial"/>
          <w:sz w:val="22"/>
          <w:szCs w:val="22"/>
        </w:rPr>
        <w:t xml:space="preserve"> when payment of annual liquor fees is due</w:t>
      </w:r>
      <w:bookmarkStart w:id="6" w:name="_Toc334520715"/>
      <w:r w:rsidR="00E614D0" w:rsidRPr="00E614D0">
        <w:rPr>
          <w:rFonts w:cs="Arial"/>
          <w:sz w:val="22"/>
          <w:szCs w:val="22"/>
        </w:rPr>
        <w:t>;</w:t>
      </w:r>
    </w:p>
    <w:p w:rsidR="00E614D0" w:rsidRPr="00E614D0" w:rsidRDefault="001C4CD2" w:rsidP="00D3278E">
      <w:pPr>
        <w:numPr>
          <w:ilvl w:val="0"/>
          <w:numId w:val="3"/>
        </w:numPr>
        <w:tabs>
          <w:tab w:val="clear" w:pos="360"/>
          <w:tab w:val="left" w:pos="920"/>
          <w:tab w:val="num" w:pos="96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207059">
        <w:rPr>
          <w:rFonts w:cs="Arial"/>
          <w:sz w:val="22"/>
          <w:szCs w:val="22"/>
        </w:rPr>
        <w:t>emoving</w:t>
      </w:r>
      <w:r w:rsidR="00E614D0" w:rsidRPr="00E614D0">
        <w:rPr>
          <w:rFonts w:cs="Arial"/>
          <w:sz w:val="22"/>
          <w:szCs w:val="22"/>
        </w:rPr>
        <w:t xml:space="preserve"> the need for approval of content, format and duration of training courses for casino employees</w:t>
      </w:r>
      <w:bookmarkEnd w:id="6"/>
      <w:r w:rsidR="00E614D0" w:rsidRPr="00E614D0">
        <w:rPr>
          <w:rFonts w:cs="Arial"/>
          <w:sz w:val="22"/>
          <w:szCs w:val="22"/>
        </w:rPr>
        <w:t xml:space="preserve">; </w:t>
      </w:r>
      <w:bookmarkStart w:id="7" w:name="_Toc334520716"/>
      <w:r w:rsidR="00D3278E">
        <w:rPr>
          <w:rFonts w:cs="Arial"/>
          <w:sz w:val="22"/>
          <w:szCs w:val="22"/>
        </w:rPr>
        <w:t>and</w:t>
      </w:r>
    </w:p>
    <w:p w:rsidR="00A70693" w:rsidRPr="00E20BF8" w:rsidRDefault="001C4CD2" w:rsidP="00D3278E">
      <w:pPr>
        <w:numPr>
          <w:ilvl w:val="0"/>
          <w:numId w:val="3"/>
        </w:numPr>
        <w:tabs>
          <w:tab w:val="clear" w:pos="360"/>
          <w:tab w:val="left" w:pos="920"/>
        </w:tabs>
        <w:spacing w:before="120"/>
        <w:ind w:left="919" w:hanging="352"/>
        <w:jc w:val="both"/>
        <w:rPr>
          <w:rFonts w:cs="Arial"/>
          <w:sz w:val="22"/>
          <w:szCs w:val="22"/>
        </w:rPr>
      </w:pPr>
      <w:bookmarkStart w:id="8" w:name="_Toc334520724"/>
      <w:bookmarkEnd w:id="7"/>
      <w:r>
        <w:rPr>
          <w:rFonts w:cs="Arial"/>
          <w:sz w:val="22"/>
          <w:szCs w:val="22"/>
        </w:rPr>
        <w:t>i</w:t>
      </w:r>
      <w:r w:rsidR="00E614D0" w:rsidRPr="00E614D0">
        <w:rPr>
          <w:rFonts w:cs="Arial"/>
          <w:sz w:val="22"/>
          <w:szCs w:val="22"/>
        </w:rPr>
        <w:t>ntroduction of ticket-in ticket-out techn</w:t>
      </w:r>
      <w:r w:rsidR="00E614D0">
        <w:rPr>
          <w:rFonts w:cs="Arial"/>
          <w:sz w:val="22"/>
          <w:szCs w:val="22"/>
        </w:rPr>
        <w:t>ology</w:t>
      </w:r>
      <w:r w:rsidR="00E614D0" w:rsidRPr="00E614D0">
        <w:rPr>
          <w:rFonts w:cs="Arial"/>
          <w:sz w:val="22"/>
          <w:szCs w:val="22"/>
        </w:rPr>
        <w:t xml:space="preserve"> in </w:t>
      </w:r>
      <w:bookmarkEnd w:id="8"/>
      <w:r w:rsidR="00E614D0" w:rsidRPr="00E614D0">
        <w:rPr>
          <w:rFonts w:cs="Arial"/>
          <w:sz w:val="22"/>
          <w:szCs w:val="22"/>
        </w:rPr>
        <w:t>licensed gaming venues</w:t>
      </w:r>
      <w:r>
        <w:rPr>
          <w:rFonts w:cs="Arial"/>
          <w:sz w:val="22"/>
          <w:szCs w:val="22"/>
        </w:rPr>
        <w:t>.</w:t>
      </w:r>
    </w:p>
    <w:p w:rsidR="00E614D0" w:rsidRPr="00E614D0" w:rsidRDefault="00E614D0" w:rsidP="00232F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cs="Arial"/>
          <w:bCs/>
          <w:i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 xml:space="preserve">The amendments will allow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cs="Arial"/>
          <w:bCs/>
          <w:spacing w:val="-3"/>
          <w:sz w:val="22"/>
          <w:szCs w:val="22"/>
        </w:rPr>
        <w:t xml:space="preserve"> hospitality and tourism industries to operate more efficiently, while maintaining safeguards to manage potential risk</w:t>
      </w:r>
      <w:r w:rsidR="001C4CD2">
        <w:rPr>
          <w:rFonts w:cs="Arial"/>
          <w:bCs/>
          <w:spacing w:val="-3"/>
          <w:sz w:val="22"/>
          <w:szCs w:val="22"/>
        </w:rPr>
        <w:t>s</w:t>
      </w:r>
      <w:r>
        <w:rPr>
          <w:rFonts w:cs="Arial"/>
          <w:bCs/>
          <w:spacing w:val="-3"/>
          <w:sz w:val="22"/>
          <w:szCs w:val="22"/>
        </w:rPr>
        <w:t xml:space="preserve"> from liquor and gaming. </w:t>
      </w:r>
    </w:p>
    <w:p w:rsidR="00E614D0" w:rsidRPr="00207059" w:rsidRDefault="00E614D0" w:rsidP="00232F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cs="Arial"/>
          <w:bCs/>
          <w:i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 xml:space="preserve">The benefits to industry through the reduction of the regulatory burden are likely </w:t>
      </w:r>
      <w:r w:rsidR="00860342">
        <w:rPr>
          <w:rFonts w:cs="Arial"/>
          <w:bCs/>
          <w:spacing w:val="-3"/>
          <w:sz w:val="22"/>
          <w:szCs w:val="22"/>
        </w:rPr>
        <w:t xml:space="preserve">to </w:t>
      </w:r>
      <w:r>
        <w:rPr>
          <w:rFonts w:cs="Arial"/>
          <w:bCs/>
          <w:spacing w:val="-3"/>
          <w:sz w:val="22"/>
          <w:szCs w:val="22"/>
        </w:rPr>
        <w:t xml:space="preserve">have broader benefits for the community by increasing industries’ capacity to employ </w:t>
      </w:r>
      <w:r w:rsidR="00860342">
        <w:rPr>
          <w:rFonts w:cs="Arial"/>
          <w:bCs/>
          <w:spacing w:val="-3"/>
          <w:sz w:val="22"/>
          <w:szCs w:val="22"/>
        </w:rPr>
        <w:t xml:space="preserve">more </w:t>
      </w:r>
      <w:r>
        <w:rPr>
          <w:rFonts w:cs="Arial"/>
          <w:bCs/>
          <w:spacing w:val="-3"/>
          <w:sz w:val="22"/>
          <w:szCs w:val="22"/>
        </w:rPr>
        <w:t>Queensland</w:t>
      </w:r>
      <w:r w:rsidR="00860342">
        <w:rPr>
          <w:rFonts w:cs="Arial"/>
          <w:bCs/>
          <w:spacing w:val="-3"/>
          <w:sz w:val="22"/>
          <w:szCs w:val="22"/>
        </w:rPr>
        <w:t>ers</w:t>
      </w:r>
      <w:r>
        <w:rPr>
          <w:rFonts w:cs="Arial"/>
          <w:bCs/>
          <w:spacing w:val="-3"/>
          <w:sz w:val="22"/>
          <w:szCs w:val="22"/>
        </w:rPr>
        <w:t xml:space="preserve"> and provide services.</w:t>
      </w:r>
    </w:p>
    <w:p w:rsidR="00207059" w:rsidRPr="00207059" w:rsidRDefault="00207059" w:rsidP="00232F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cs="Arial"/>
          <w:bCs/>
          <w:spacing w:val="-3"/>
          <w:sz w:val="22"/>
          <w:szCs w:val="22"/>
        </w:rPr>
      </w:pPr>
      <w:r w:rsidRPr="00207059">
        <w:rPr>
          <w:rFonts w:cs="Arial"/>
          <w:bCs/>
          <w:spacing w:val="-3"/>
          <w:sz w:val="22"/>
          <w:szCs w:val="22"/>
        </w:rPr>
        <w:t xml:space="preserve">In addition to red tape reduction, the Bill includes miscellaneous amendments to liquor, gaming and fair trading, electrical safety, </w:t>
      </w:r>
      <w:r w:rsidR="00865FF4">
        <w:rPr>
          <w:rFonts w:cs="Arial"/>
          <w:bCs/>
          <w:spacing w:val="-3"/>
          <w:sz w:val="22"/>
          <w:szCs w:val="22"/>
        </w:rPr>
        <w:t xml:space="preserve">Treasury </w:t>
      </w:r>
      <w:r w:rsidRPr="00207059">
        <w:rPr>
          <w:rFonts w:cs="Arial"/>
          <w:bCs/>
          <w:spacing w:val="-3"/>
          <w:sz w:val="22"/>
          <w:szCs w:val="22"/>
        </w:rPr>
        <w:t xml:space="preserve">and courts legislation. </w:t>
      </w:r>
      <w:r>
        <w:rPr>
          <w:rFonts w:cs="Arial"/>
          <w:bCs/>
          <w:spacing w:val="-3"/>
          <w:sz w:val="22"/>
          <w:szCs w:val="22"/>
        </w:rPr>
        <w:t>T</w:t>
      </w:r>
      <w:r w:rsidRPr="00207059">
        <w:rPr>
          <w:rFonts w:cs="Arial"/>
          <w:bCs/>
          <w:spacing w:val="-3"/>
          <w:sz w:val="22"/>
          <w:szCs w:val="22"/>
        </w:rPr>
        <w:t>hese amendments of a minor or technical nature and will improve legislative clarity and integrity.</w:t>
      </w:r>
    </w:p>
    <w:p w:rsidR="00A70693" w:rsidRPr="00CF12F1" w:rsidRDefault="00A70693" w:rsidP="00232F3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cs="Arial"/>
          <w:bCs/>
          <w:i/>
          <w:spacing w:val="-3"/>
          <w:sz w:val="22"/>
          <w:szCs w:val="22"/>
        </w:rPr>
      </w:pPr>
      <w:r w:rsidRPr="00CF12F1">
        <w:rPr>
          <w:rFonts w:cs="Arial"/>
          <w:bCs/>
          <w:spacing w:val="-3"/>
          <w:sz w:val="22"/>
          <w:szCs w:val="22"/>
          <w:u w:val="single"/>
        </w:rPr>
        <w:t>Cabinet approved</w:t>
      </w:r>
      <w:r>
        <w:rPr>
          <w:rFonts w:cs="Arial"/>
          <w:bCs/>
          <w:spacing w:val="-3"/>
          <w:sz w:val="22"/>
          <w:szCs w:val="22"/>
        </w:rPr>
        <w:t xml:space="preserve"> the introduction of </w:t>
      </w:r>
      <w:r w:rsidRPr="00F017EA">
        <w:rPr>
          <w:rFonts w:cs="Arial"/>
          <w:bCs/>
          <w:spacing w:val="-3"/>
          <w:sz w:val="22"/>
          <w:szCs w:val="22"/>
        </w:rPr>
        <w:t xml:space="preserve">the Liquor and </w:t>
      </w:r>
      <w:r w:rsidR="001C4CD2" w:rsidRPr="00F017EA">
        <w:rPr>
          <w:rFonts w:cs="Arial"/>
          <w:bCs/>
          <w:spacing w:val="-3"/>
          <w:sz w:val="22"/>
          <w:szCs w:val="22"/>
        </w:rPr>
        <w:t xml:space="preserve">Gaming (Red Tape Reduction) and </w:t>
      </w:r>
      <w:r w:rsidRPr="00F017EA">
        <w:rPr>
          <w:rFonts w:cs="Arial"/>
          <w:bCs/>
          <w:spacing w:val="-3"/>
          <w:sz w:val="22"/>
          <w:szCs w:val="22"/>
        </w:rPr>
        <w:t>Other Legislation Amendment Bill 2013 into</w:t>
      </w:r>
      <w:r w:rsidRPr="00EF34D4">
        <w:rPr>
          <w:rFonts w:cs="Arial"/>
          <w:bCs/>
          <w:spacing w:val="-3"/>
          <w:sz w:val="22"/>
          <w:szCs w:val="22"/>
        </w:rPr>
        <w:t xml:space="preserve"> the Legislative Assembly</w:t>
      </w:r>
      <w:r>
        <w:rPr>
          <w:rFonts w:cs="Arial"/>
          <w:bCs/>
          <w:i/>
          <w:spacing w:val="-3"/>
          <w:sz w:val="22"/>
          <w:szCs w:val="22"/>
        </w:rPr>
        <w:t>.</w:t>
      </w:r>
    </w:p>
    <w:p w:rsidR="00A70693" w:rsidRPr="00C07656" w:rsidRDefault="00A70693" w:rsidP="00D3278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cs="Arial"/>
          <w:sz w:val="22"/>
          <w:szCs w:val="22"/>
        </w:rPr>
      </w:pPr>
      <w:r w:rsidRPr="00C07656">
        <w:rPr>
          <w:rFonts w:cs="Arial"/>
          <w:i/>
          <w:sz w:val="22"/>
          <w:szCs w:val="22"/>
          <w:u w:val="single"/>
        </w:rPr>
        <w:t>Attachments</w:t>
      </w:r>
    </w:p>
    <w:p w:rsidR="00A70693" w:rsidRPr="00EF34D4" w:rsidRDefault="007B74F1" w:rsidP="00D3278E">
      <w:pPr>
        <w:numPr>
          <w:ilvl w:val="0"/>
          <w:numId w:val="2"/>
        </w:numPr>
        <w:spacing w:before="120"/>
        <w:ind w:left="811"/>
        <w:jc w:val="both"/>
        <w:rPr>
          <w:rFonts w:cs="Arial"/>
          <w:sz w:val="22"/>
          <w:szCs w:val="22"/>
        </w:rPr>
      </w:pPr>
      <w:hyperlink r:id="rId7" w:history="1">
        <w:r w:rsidR="00A70693" w:rsidRPr="00D83DAD">
          <w:rPr>
            <w:rStyle w:val="Hyperlink"/>
            <w:rFonts w:cs="Arial"/>
            <w:sz w:val="22"/>
            <w:szCs w:val="22"/>
          </w:rPr>
          <w:t xml:space="preserve">Liquor and </w:t>
        </w:r>
        <w:r w:rsidR="001C4CD2" w:rsidRPr="00D83DAD">
          <w:rPr>
            <w:rStyle w:val="Hyperlink"/>
            <w:rFonts w:cs="Arial"/>
            <w:sz w:val="22"/>
            <w:szCs w:val="22"/>
          </w:rPr>
          <w:t xml:space="preserve">Gaming (Red Tape Reduction) and </w:t>
        </w:r>
        <w:r w:rsidR="00AE5172" w:rsidRPr="00D83DAD">
          <w:rPr>
            <w:rStyle w:val="Hyperlink"/>
            <w:rFonts w:cs="Arial"/>
            <w:sz w:val="22"/>
            <w:szCs w:val="22"/>
          </w:rPr>
          <w:t>Other Legislation Amendment Bill</w:t>
        </w:r>
        <w:r w:rsidR="00A70693" w:rsidRPr="00D83DAD">
          <w:rPr>
            <w:rStyle w:val="Hyperlink"/>
            <w:rFonts w:cs="Arial"/>
            <w:sz w:val="22"/>
            <w:szCs w:val="22"/>
          </w:rPr>
          <w:t xml:space="preserve"> 2013</w:t>
        </w:r>
      </w:hyperlink>
    </w:p>
    <w:p w:rsidR="002F1739" w:rsidRPr="00232F37" w:rsidRDefault="007B74F1" w:rsidP="00D3278E">
      <w:pPr>
        <w:numPr>
          <w:ilvl w:val="0"/>
          <w:numId w:val="2"/>
        </w:numPr>
        <w:spacing w:before="120"/>
        <w:ind w:left="811"/>
        <w:jc w:val="both"/>
        <w:rPr>
          <w:rFonts w:cs="Arial"/>
          <w:sz w:val="22"/>
          <w:szCs w:val="22"/>
        </w:rPr>
      </w:pPr>
      <w:hyperlink r:id="rId8" w:history="1">
        <w:r w:rsidR="00A70693" w:rsidRPr="00D83DAD">
          <w:rPr>
            <w:rStyle w:val="Hyperlink"/>
            <w:rFonts w:cs="Arial"/>
            <w:sz w:val="22"/>
            <w:szCs w:val="22"/>
          </w:rPr>
          <w:t>Explanatory Notes</w:t>
        </w:r>
      </w:hyperlink>
    </w:p>
    <w:sectPr w:rsidR="002F1739" w:rsidRPr="00232F37" w:rsidSect="00232F37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AF" w:rsidRDefault="00B208AF">
      <w:r>
        <w:separator/>
      </w:r>
    </w:p>
  </w:endnote>
  <w:endnote w:type="continuationSeparator" w:id="0">
    <w:p w:rsidR="00B208AF" w:rsidRDefault="00B2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AF" w:rsidRDefault="00B208AF">
      <w:r>
        <w:separator/>
      </w:r>
    </w:p>
  </w:footnote>
  <w:footnote w:type="continuationSeparator" w:id="0">
    <w:p w:rsidR="00B208AF" w:rsidRDefault="00B2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37" w:rsidRDefault="007B7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37" w:rsidRPr="00937A4A" w:rsidRDefault="00232F37" w:rsidP="009F5F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cs="Arial"/>
        <w:b/>
        <w:sz w:val="28"/>
        <w:szCs w:val="22"/>
      </w:rPr>
    </w:pPr>
    <w:r w:rsidRPr="00937A4A">
      <w:rPr>
        <w:rFonts w:cs="Arial"/>
        <w:b/>
        <w:sz w:val="28"/>
        <w:szCs w:val="22"/>
      </w:rPr>
      <w:t>Queensland Government</w:t>
    </w:r>
  </w:p>
  <w:p w:rsidR="00232F37" w:rsidRPr="00937A4A" w:rsidRDefault="00232F37" w:rsidP="009F5F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cs="Arial"/>
        <w:b/>
        <w:sz w:val="14"/>
        <w:szCs w:val="22"/>
        <w:u w:val="single"/>
      </w:rPr>
    </w:pPr>
  </w:p>
  <w:p w:rsidR="00232F37" w:rsidRPr="00937A4A" w:rsidRDefault="00232F37" w:rsidP="009F5F0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cs="Arial"/>
        <w:b/>
        <w:sz w:val="22"/>
        <w:szCs w:val="22"/>
      </w:rPr>
    </w:pPr>
    <w:r w:rsidRPr="00937A4A">
      <w:rPr>
        <w:rFonts w:cs="Arial"/>
        <w:b/>
        <w:sz w:val="22"/>
        <w:szCs w:val="22"/>
      </w:rPr>
      <w:t xml:space="preserve">Cabinet – </w:t>
    </w:r>
    <w:r>
      <w:rPr>
        <w:rFonts w:cs="Arial"/>
        <w:b/>
        <w:sz w:val="22"/>
        <w:szCs w:val="22"/>
      </w:rPr>
      <w:t>March 2013</w:t>
    </w:r>
  </w:p>
  <w:p w:rsidR="00232F37" w:rsidRPr="00CC7312" w:rsidRDefault="00232F37" w:rsidP="00232F37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CC7312">
      <w:rPr>
        <w:rFonts w:cs="Arial"/>
        <w:b/>
        <w:sz w:val="22"/>
        <w:szCs w:val="22"/>
        <w:u w:val="single"/>
      </w:rPr>
      <w:t>Liquor and Gaming (Red Tape Reduction) and Other Legislation Amendment Bill 2013</w:t>
    </w:r>
  </w:p>
  <w:p w:rsidR="00232F37" w:rsidRPr="00CC7312" w:rsidRDefault="00232F37" w:rsidP="00232F37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CC7312">
      <w:rPr>
        <w:rFonts w:cs="Arial"/>
        <w:b/>
        <w:sz w:val="22"/>
        <w:szCs w:val="22"/>
        <w:u w:val="single"/>
      </w:rPr>
      <w:t>Attorney-General and Minister for Justice</w:t>
    </w:r>
  </w:p>
  <w:p w:rsidR="00232F37" w:rsidRPr="00C71A01" w:rsidRDefault="00232F37" w:rsidP="00C71A01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37" w:rsidRDefault="007B74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C28"/>
    <w:multiLevelType w:val="hybridMultilevel"/>
    <w:tmpl w:val="89CA6B4E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E60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E67AC"/>
    <w:multiLevelType w:val="hybridMultilevel"/>
    <w:tmpl w:val="DBF4AAA0"/>
    <w:lvl w:ilvl="0" w:tplc="0C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 w:val="0"/>
      </w:rPr>
    </w:lvl>
    <w:lvl w:ilvl="1" w:tplc="B7A0238C">
      <w:start w:val="1"/>
      <w:numFmt w:val="bullet"/>
      <w:lvlText w:val=""/>
      <w:lvlJc w:val="left"/>
      <w:pPr>
        <w:tabs>
          <w:tab w:val="num" w:pos="1951"/>
        </w:tabs>
        <w:ind w:left="195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A4386DA2"/>
    <w:lvl w:ilvl="0" w:tplc="5398545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84EE12EE"/>
    <w:lvl w:ilvl="0" w:tplc="B36E0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3"/>
    <w:rsid w:val="00035854"/>
    <w:rsid w:val="0005137C"/>
    <w:rsid w:val="0009231A"/>
    <w:rsid w:val="000E0B9F"/>
    <w:rsid w:val="00101720"/>
    <w:rsid w:val="001116BD"/>
    <w:rsid w:val="00116E59"/>
    <w:rsid w:val="00123D21"/>
    <w:rsid w:val="0013108A"/>
    <w:rsid w:val="00147416"/>
    <w:rsid w:val="00193798"/>
    <w:rsid w:val="001B3A7E"/>
    <w:rsid w:val="001B4186"/>
    <w:rsid w:val="001C4CD2"/>
    <w:rsid w:val="00207059"/>
    <w:rsid w:val="0021664D"/>
    <w:rsid w:val="00232F37"/>
    <w:rsid w:val="00286B77"/>
    <w:rsid w:val="002A4C22"/>
    <w:rsid w:val="002A5D6D"/>
    <w:rsid w:val="002F1739"/>
    <w:rsid w:val="00324E05"/>
    <w:rsid w:val="003416F0"/>
    <w:rsid w:val="00377DC4"/>
    <w:rsid w:val="003E4292"/>
    <w:rsid w:val="003F1DBA"/>
    <w:rsid w:val="003F5884"/>
    <w:rsid w:val="00491BBE"/>
    <w:rsid w:val="00495F72"/>
    <w:rsid w:val="00573F87"/>
    <w:rsid w:val="005849EB"/>
    <w:rsid w:val="005E53B1"/>
    <w:rsid w:val="006621AC"/>
    <w:rsid w:val="006952A1"/>
    <w:rsid w:val="006B0C40"/>
    <w:rsid w:val="006B5D99"/>
    <w:rsid w:val="007B74F1"/>
    <w:rsid w:val="00860342"/>
    <w:rsid w:val="00865FF4"/>
    <w:rsid w:val="008E0EEB"/>
    <w:rsid w:val="008F1569"/>
    <w:rsid w:val="008F7795"/>
    <w:rsid w:val="009C5704"/>
    <w:rsid w:val="009F5F0A"/>
    <w:rsid w:val="00A064AF"/>
    <w:rsid w:val="00A10EDA"/>
    <w:rsid w:val="00A70693"/>
    <w:rsid w:val="00A72FA9"/>
    <w:rsid w:val="00A9208A"/>
    <w:rsid w:val="00AA6E58"/>
    <w:rsid w:val="00AB116C"/>
    <w:rsid w:val="00AE5172"/>
    <w:rsid w:val="00AF1FCB"/>
    <w:rsid w:val="00B208AF"/>
    <w:rsid w:val="00B222BB"/>
    <w:rsid w:val="00B42489"/>
    <w:rsid w:val="00B61499"/>
    <w:rsid w:val="00B76EE3"/>
    <w:rsid w:val="00BF0AD9"/>
    <w:rsid w:val="00C06F4C"/>
    <w:rsid w:val="00C473FB"/>
    <w:rsid w:val="00C71A01"/>
    <w:rsid w:val="00CC7312"/>
    <w:rsid w:val="00CD12BF"/>
    <w:rsid w:val="00CD3ACE"/>
    <w:rsid w:val="00D222DA"/>
    <w:rsid w:val="00D3278E"/>
    <w:rsid w:val="00D50D3E"/>
    <w:rsid w:val="00D83DAD"/>
    <w:rsid w:val="00D875A7"/>
    <w:rsid w:val="00DD4AE0"/>
    <w:rsid w:val="00E02703"/>
    <w:rsid w:val="00E27AE8"/>
    <w:rsid w:val="00E3774F"/>
    <w:rsid w:val="00E45BE4"/>
    <w:rsid w:val="00E614D0"/>
    <w:rsid w:val="00F017EA"/>
    <w:rsid w:val="00F805CF"/>
    <w:rsid w:val="00F867B2"/>
    <w:rsid w:val="00FA2745"/>
    <w:rsid w:val="00FC782A"/>
    <w:rsid w:val="00FE0AC0"/>
    <w:rsid w:val="00FF062E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9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6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0693"/>
    <w:pPr>
      <w:tabs>
        <w:tab w:val="center" w:pos="4153"/>
        <w:tab w:val="right" w:pos="8306"/>
      </w:tabs>
    </w:pPr>
  </w:style>
  <w:style w:type="paragraph" w:customStyle="1" w:styleId="CharChar3CharCharCharCharCharCharCharCharCharCharCharCharCharCharCharChar">
    <w:name w:val="Char Char3 Char Char Char Char Char Char Char Char Char Char Char Char Char Char Char Char"/>
    <w:basedOn w:val="Normal"/>
    <w:rsid w:val="00A70693"/>
    <w:pPr>
      <w:tabs>
        <w:tab w:val="left" w:pos="8278"/>
      </w:tabs>
      <w:spacing w:after="160" w:line="240" w:lineRule="exact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1C4CD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CC7312"/>
    <w:rPr>
      <w:rFonts w:ascii="Arial" w:hAnsi="Arial"/>
      <w:sz w:val="24"/>
      <w:szCs w:val="24"/>
      <w:lang w:val="en-AU" w:eastAsia="en-US" w:bidi="ar-SA"/>
    </w:rPr>
  </w:style>
  <w:style w:type="character" w:styleId="Hyperlink">
    <w:name w:val="Hyperlink"/>
    <w:rsid w:val="00D8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1894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</CharactersWithSpaces>
  <SharedDoc>false</SharedDoc>
  <HyperlinkBase>https://www.cabinet.qld.gov.au/documents/2013/Mar/Liquor Gaming RTR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2013-03-11T05:47:00Z</cp:lastPrinted>
  <dcterms:created xsi:type="dcterms:W3CDTF">2017-10-25T00:52:00Z</dcterms:created>
  <dcterms:modified xsi:type="dcterms:W3CDTF">2018-03-06T01:19:00Z</dcterms:modified>
  <cp:category>Legislation,Liquor,Gaming,Regulatory_Reform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-1182422475</vt:i4>
  </property>
  <property fmtid="{D5CDD505-2E9C-101B-9397-08002B2CF9AE}" pid="3" name="_NewReviewCycle">
    <vt:lpwstr/>
  </property>
  <property fmtid="{D5CDD505-2E9C-101B-9397-08002B2CF9AE}" pid="4" name="_PreviousAdHocReviewCycleID">
    <vt:i4>159621874</vt:i4>
  </property>
  <property fmtid="{D5CDD505-2E9C-101B-9397-08002B2CF9AE}" pid="5" name="_ReviewingToolsShownOnce">
    <vt:lpwstr/>
  </property>
</Properties>
</file>